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967FAB" w:rsidRPr="00400B1D" w:rsidRDefault="00967FAB" w:rsidP="00967FAB">
      <w:pPr>
        <w:jc w:val="center"/>
        <w:rPr>
          <w:rFonts w:ascii="Cambria" w:hAnsi="Cambria"/>
          <w:b/>
          <w:color w:val="000000" w:themeColor="text1"/>
          <w:sz w:val="48"/>
          <w:szCs w:val="48"/>
        </w:rPr>
      </w:pPr>
      <w:r w:rsidRPr="00400B1D">
        <w:rPr>
          <w:rFonts w:ascii="Cambria" w:hAnsi="Cambria"/>
          <w:b/>
          <w:color w:val="000000" w:themeColor="text1"/>
          <w:sz w:val="48"/>
          <w:szCs w:val="48"/>
        </w:rPr>
        <w:t>Programación didáctica del módulo: Redes Locales</w:t>
      </w:r>
    </w:p>
    <w:p w:rsidR="00967FAB" w:rsidRPr="00400B1D" w:rsidRDefault="00967FAB" w:rsidP="00967FAB">
      <w:pPr>
        <w:jc w:val="center"/>
        <w:rPr>
          <w:rFonts w:ascii="Cambria" w:hAnsi="Cambria"/>
          <w:b/>
          <w:color w:val="000000" w:themeColor="text1"/>
          <w:sz w:val="48"/>
          <w:szCs w:val="48"/>
        </w:rPr>
      </w:pPr>
    </w:p>
    <w:p w:rsidR="00967FAB" w:rsidRPr="00400B1D" w:rsidRDefault="00967FAB" w:rsidP="00967FAB">
      <w:pPr>
        <w:jc w:val="center"/>
        <w:rPr>
          <w:rFonts w:ascii="Cambria" w:hAnsi="Cambria"/>
          <w:b/>
          <w:color w:val="000000" w:themeColor="text1"/>
          <w:sz w:val="48"/>
          <w:szCs w:val="48"/>
        </w:rPr>
      </w:pPr>
      <w:r w:rsidRPr="00400B1D">
        <w:rPr>
          <w:rFonts w:ascii="Cambria" w:hAnsi="Cambria"/>
          <w:b/>
          <w:color w:val="000000" w:themeColor="text1"/>
          <w:sz w:val="48"/>
          <w:szCs w:val="48"/>
        </w:rPr>
        <w:t xml:space="preserve">Ciclo formativo: </w:t>
      </w:r>
    </w:p>
    <w:p w:rsidR="00967FAB" w:rsidRPr="00400B1D" w:rsidRDefault="00967FAB" w:rsidP="00967FAB">
      <w:pPr>
        <w:jc w:val="center"/>
        <w:rPr>
          <w:rFonts w:ascii="Cambria" w:hAnsi="Cambria"/>
          <w:b/>
          <w:color w:val="000000" w:themeColor="text1"/>
          <w:sz w:val="48"/>
          <w:szCs w:val="48"/>
        </w:rPr>
      </w:pPr>
      <w:r w:rsidRPr="00400B1D">
        <w:rPr>
          <w:rFonts w:ascii="Cambria" w:hAnsi="Cambria"/>
          <w:b/>
          <w:color w:val="000000" w:themeColor="text1"/>
          <w:sz w:val="48"/>
          <w:szCs w:val="48"/>
        </w:rPr>
        <w:t>Sistemas Microinformáticos y Redes</w:t>
      </w:r>
    </w:p>
    <w:p w:rsidR="00967FAB" w:rsidRPr="00400B1D" w:rsidRDefault="00967FAB" w:rsidP="00967FAB">
      <w:pPr>
        <w:jc w:val="center"/>
        <w:rPr>
          <w:rFonts w:ascii="Cambria" w:hAnsi="Cambria"/>
          <w:b/>
          <w:color w:val="000000" w:themeColor="text1"/>
          <w:sz w:val="48"/>
          <w:szCs w:val="48"/>
        </w:rPr>
      </w:pPr>
    </w:p>
    <w:p w:rsidR="00967FAB" w:rsidRPr="00400B1D" w:rsidRDefault="00967FAB" w:rsidP="00967FAB">
      <w:pPr>
        <w:jc w:val="center"/>
        <w:rPr>
          <w:rFonts w:ascii="Cambria" w:hAnsi="Cambria"/>
          <w:b/>
          <w:color w:val="000000" w:themeColor="text1"/>
          <w:sz w:val="48"/>
          <w:szCs w:val="48"/>
        </w:rPr>
      </w:pPr>
      <w:r w:rsidRPr="00400B1D">
        <w:rPr>
          <w:rFonts w:ascii="Cambria" w:hAnsi="Cambria"/>
          <w:b/>
          <w:color w:val="000000" w:themeColor="text1"/>
          <w:sz w:val="48"/>
          <w:szCs w:val="48"/>
        </w:rPr>
        <w:t xml:space="preserve">Curso: </w:t>
      </w:r>
      <w:r>
        <w:rPr>
          <w:rFonts w:ascii="Cambria" w:hAnsi="Cambria"/>
          <w:b/>
          <w:color w:val="000000" w:themeColor="text1"/>
          <w:sz w:val="48"/>
          <w:szCs w:val="48"/>
        </w:rPr>
        <w:t>2023/2024</w:t>
      </w:r>
    </w:p>
    <w:p w:rsidR="00967FAB" w:rsidRPr="00400B1D" w:rsidRDefault="00967FAB" w:rsidP="00967FAB">
      <w:pPr>
        <w:jc w:val="center"/>
        <w:rPr>
          <w:rFonts w:ascii="Cambria" w:hAnsi="Cambria"/>
          <w:b/>
          <w:color w:val="000000" w:themeColor="text1"/>
          <w:sz w:val="48"/>
          <w:szCs w:val="48"/>
        </w:rPr>
      </w:pPr>
    </w:p>
    <w:p w:rsidR="00266FE7" w:rsidRDefault="00967FAB" w:rsidP="00967FAB">
      <w:pPr>
        <w:jc w:val="center"/>
        <w:rPr>
          <w:rFonts w:ascii="Cambria" w:hAnsi="Cambria"/>
          <w:b/>
          <w:sz w:val="48"/>
          <w:szCs w:val="48"/>
        </w:rPr>
      </w:pPr>
      <w:r w:rsidRPr="00400B1D">
        <w:rPr>
          <w:rFonts w:ascii="Cambria" w:hAnsi="Cambria"/>
          <w:b/>
          <w:color w:val="000000" w:themeColor="text1"/>
          <w:sz w:val="48"/>
          <w:szCs w:val="48"/>
        </w:rPr>
        <w:t>Profesor: David Rodríguez Garrido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D45F0" w:rsidRDefault="005D490E">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5D490E">
        <w:rPr>
          <w:noProof/>
        </w:rPr>
        <w:fldChar w:fldCharType="begin"/>
      </w:r>
      <w:r>
        <w:rPr>
          <w:noProof/>
        </w:rPr>
        <w:instrText xml:space="preserve"> PAGEREF _Toc120557409 \h </w:instrText>
      </w:r>
      <w:r w:rsidR="005D490E">
        <w:rPr>
          <w:noProof/>
        </w:rPr>
      </w:r>
      <w:r w:rsidR="005D490E">
        <w:rPr>
          <w:noProof/>
        </w:rPr>
        <w:fldChar w:fldCharType="separate"/>
      </w:r>
      <w:r>
        <w:rPr>
          <w:noProof/>
        </w:rPr>
        <w:t>3</w:t>
      </w:r>
      <w:r w:rsidR="005D490E">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5D490E">
        <w:rPr>
          <w:noProof/>
        </w:rPr>
        <w:fldChar w:fldCharType="begin"/>
      </w:r>
      <w:r>
        <w:rPr>
          <w:noProof/>
        </w:rPr>
        <w:instrText xml:space="preserve"> PAGEREF _Toc120557410 \h </w:instrText>
      </w:r>
      <w:r w:rsidR="005D490E">
        <w:rPr>
          <w:noProof/>
        </w:rPr>
      </w:r>
      <w:r w:rsidR="005D490E">
        <w:rPr>
          <w:noProof/>
        </w:rPr>
        <w:fldChar w:fldCharType="separate"/>
      </w:r>
      <w:r>
        <w:rPr>
          <w:noProof/>
        </w:rPr>
        <w:t>6</w:t>
      </w:r>
      <w:r w:rsidR="005D490E">
        <w:rPr>
          <w:noProof/>
        </w:rPr>
        <w:fldChar w:fldCharType="end"/>
      </w:r>
    </w:p>
    <w:p w:rsidR="00266FE7" w:rsidRDefault="005D490E">
      <w:pPr>
        <w:pStyle w:val="ndice1"/>
        <w:tabs>
          <w:tab w:val="right" w:leader="dot" w:pos="8504"/>
        </w:tabs>
        <w:rPr>
          <w:rStyle w:val="Enlacedelndice"/>
        </w:rPr>
      </w:pPr>
      <w:r>
        <w:fldChar w:fldCharType="end"/>
      </w:r>
    </w:p>
    <w:p w:rsidR="00266FE7" w:rsidRDefault="005D490E">
      <w:pPr>
        <w:pStyle w:val="ndice1"/>
        <w:tabs>
          <w:tab w:val="right" w:leader="dot" w:pos="8504"/>
        </w:tabs>
      </w:pPr>
      <w:hyperlink w:anchor="__RefHeading__1755_52140663"/>
    </w:p>
    <w:p w:rsidR="00266FE7" w:rsidRDefault="005D490E">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967FAB" w:rsidRPr="00967FAB" w:rsidRDefault="00502BA9" w:rsidP="00967FAB">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descrito los principios de funcionamiento de las redes locales.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distintos tipos de redes.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descrito los elementos de la red local y su función.</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y clasificado los medios de transmisión.</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el mapa físico de la red local.</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utilizado aplicaciones para representar el mapa físico de la red local.</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reconocido las distintas topologías de red.</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estructuras alternativas.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reconocido los principios funcionales de las redes locales.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distintos tipos de redes.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diferenciado los medios de transmisión.</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reconocido los detalles del cableado de la instalación y su despliegue (categoría del cableado, espacios por los que discurre, soporte para las canalizaciones, entre otros).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han seleccionado y montado las canalizaciones y tubos. </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los armarios de comunicaciones y sus accesorios.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y conexionado las tomas de usuario y paneles de parcheo.</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probado las líneas de comunicación entre las tomas de usuario y paneles de parcheo.</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han etiquetado los cables y tomas de usuario. </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jc w:val="left"/>
        <w:rPr>
          <w:color w:val="000000" w:themeColor="text1"/>
        </w:rPr>
      </w:pPr>
      <w:r w:rsidRPr="00400B1D">
        <w:rPr>
          <w:color w:val="000000" w:themeColor="text1"/>
        </w:rPr>
        <w:t>Se ha trabajado con la calidad y seguridad requeridas.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características que definen una red Ethernet.</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 interpretado el plan de montaje lógico de la red. </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los adaptadores de red en los equipos.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conectores sobre cables (cobre y fibra) de red.</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montado los equipos de conmutación en los armarios de comunicaciones.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conectado los equipos de conmutación a los paneles de parcheo.</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lastRenderedPageBreak/>
        <w:t>Se ha verificado la conectividad de la instalación.</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trabajado con la calidad requerida.</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realizado la interconexión de redes distintas utilizando los dispositivos de interconexión adecuados.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la estructura y características del modelo TCP/IP.</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la estructura y funciones de las direcciones MAC.</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reconocido la estructura y funciones de las direcciones IP.</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segmentado redes LAN empleando distintas técnicas.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configurado la conexión a internet.</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características funcionales de las redes inalámbricas.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modos de funcionamiento de las redes inalámbricas.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instalado adaptadores y puntos de acceso inalámbrico.</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configurado los modos de funcionamiento y los parámetros básicos.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comprobado la conectividad entre diversos dispositivos y adaptadores inalámbricos.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instalado el software correspondiente.</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los protocolos.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configurado los parámetros básicos.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aplicado mecanismos básicos de seguridad.</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creado y configurado VLANS.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incidencias y comportamientos anómalos.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identificado si la disfunción es debida al hardware o al software.</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monitorizado las señales visuales de los dispositivos de interconexión.</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verificado los protocolos de comunicaciones.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localizado la causa de la disfunción.</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 restituido el funcionamiento sustituyendo equipos o elementos. </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solucionado las disfunciones software. (configurando o reinstalando).</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 xml:space="preserve">Se ha elaborado un informe de incidencias. </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lastRenderedPageBreak/>
        <w:t>Se han identificado los riesgos y el nivel de peligrosidad que suponen la manipulación de los materiales, herramientas, útiles, máquinas y medios de transporte.</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operado las máquinas respetando las normas de seguridad.</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causas más frecuentes de accidentes en la manipulación de materiales, herramientas, máquinas de corte y conformado, entre otras.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descrito los elementos de seguridad (protecciones, alarmas, pasos de emergencia, entre otros) de las máquinas y los equipos de protección individual (calzado, protección ocular, indumentaria, entre otros) que se deben emplear en las operaciones de montaje y mantenimiento.</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 relacionado la manipulación de materiales, herramientas y máquinas con las medidas de seguridad y protección personal requeridos.</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identificado las posibles fuentes de contaminación del entorno ambiental.</w:t>
      </w:r>
    </w:p>
    <w:p w:rsidR="00967FAB" w:rsidRPr="00400B1D" w:rsidRDefault="00967FAB" w:rsidP="00967FAB">
      <w:pPr>
        <w:widowControl w:val="0"/>
        <w:numPr>
          <w:ilvl w:val="2"/>
          <w:numId w:val="48"/>
        </w:numPr>
        <w:tabs>
          <w:tab w:val="clear" w:pos="1440"/>
          <w:tab w:val="num" w:pos="180"/>
        </w:tabs>
        <w:suppressAutoHyphens w:val="0"/>
        <w:autoSpaceDE w:val="0"/>
        <w:autoSpaceDN w:val="0"/>
        <w:adjustRightInd w:val="0"/>
        <w:ind w:left="360" w:right="-198" w:hanging="360"/>
        <w:rPr>
          <w:color w:val="000000" w:themeColor="text1"/>
        </w:rPr>
      </w:pPr>
      <w:r w:rsidRPr="00400B1D">
        <w:rPr>
          <w:color w:val="000000" w:themeColor="text1"/>
        </w:rPr>
        <w:t>Se han clasificado los residuos generados para su retirada selectiva.</w:t>
      </w:r>
    </w:p>
    <w:p w:rsidR="00967FAB" w:rsidRPr="00400B1D" w:rsidRDefault="00967FAB" w:rsidP="00967FAB">
      <w:pPr>
        <w:numPr>
          <w:ilvl w:val="2"/>
          <w:numId w:val="48"/>
        </w:numPr>
        <w:tabs>
          <w:tab w:val="clear" w:pos="1440"/>
          <w:tab w:val="num" w:pos="180"/>
        </w:tabs>
        <w:suppressAutoHyphens w:val="0"/>
        <w:ind w:left="360" w:hanging="360"/>
        <w:jc w:val="left"/>
        <w:rPr>
          <w:color w:val="000000" w:themeColor="text1"/>
        </w:rPr>
      </w:pPr>
      <w:r w:rsidRPr="00400B1D">
        <w:rPr>
          <w:color w:val="000000" w:themeColor="text1"/>
        </w:rPr>
        <w:t>Se ha valorado el orden y la limpieza de instalaciones y equipos como primer factor de prevención de riesgos.</w:t>
      </w:r>
    </w:p>
    <w:p w:rsidR="00502BA9" w:rsidRPr="003D6315" w:rsidRDefault="00502BA9" w:rsidP="00967FAB">
      <w:pPr>
        <w:jc w:val="left"/>
      </w:pPr>
    </w:p>
    <w:p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rsidR="00967FAB" w:rsidRPr="00400B1D" w:rsidRDefault="00967FAB" w:rsidP="00967FAB">
      <w:pPr>
        <w:ind w:firstLine="576"/>
        <w:rPr>
          <w:rFonts w:asciiTheme="minorHAnsi" w:hAnsiTheme="minorHAnsi" w:cs="Calibri"/>
          <w:color w:val="000000" w:themeColor="text1"/>
        </w:rPr>
      </w:pPr>
      <w:r w:rsidRPr="00400B1D">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967FAB" w:rsidRPr="00400B1D" w:rsidRDefault="00967FAB" w:rsidP="00967FAB">
      <w:pPr>
        <w:rPr>
          <w:rFonts w:asciiTheme="minorHAnsi" w:hAnsiTheme="minorHAnsi"/>
          <w:color w:val="000000" w:themeColor="text1"/>
        </w:rPr>
      </w:pPr>
    </w:p>
    <w:p w:rsidR="00967FAB" w:rsidRPr="00400B1D" w:rsidRDefault="00967FAB" w:rsidP="00967FAB">
      <w:pPr>
        <w:rPr>
          <w:rFonts w:asciiTheme="minorHAnsi" w:hAnsiTheme="minorHAnsi"/>
          <w:color w:val="000000" w:themeColor="text1"/>
        </w:rPr>
      </w:pPr>
      <w:r w:rsidRPr="00400B1D">
        <w:rPr>
          <w:rFonts w:asciiTheme="minorHAnsi" w:hAnsiTheme="minorHAnsi"/>
          <w:color w:val="000000" w:themeColor="text1"/>
        </w:rPr>
        <w:t>En cada una de las evaluaciones se calificarán los siguientes conceptos:</w:t>
      </w:r>
    </w:p>
    <w:p w:rsidR="00967FAB" w:rsidRPr="00400B1D" w:rsidRDefault="00967FAB" w:rsidP="00967FAB">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rsidR="00967FAB" w:rsidRPr="00400B1D" w:rsidRDefault="00967FAB" w:rsidP="00967FAB">
      <w:pPr>
        <w:numPr>
          <w:ilvl w:val="1"/>
          <w:numId w:val="41"/>
        </w:numPr>
        <w:suppressAutoHyphens w:val="0"/>
        <w:rPr>
          <w:rFonts w:asciiTheme="minorHAnsi" w:hAnsiTheme="minorHAnsi"/>
          <w:color w:val="000000" w:themeColor="text1"/>
        </w:rPr>
      </w:pPr>
      <w:r w:rsidRPr="00400B1D">
        <w:rPr>
          <w:rFonts w:asciiTheme="minorHAnsi" w:hAnsiTheme="minorHAnsi"/>
          <w:color w:val="000000" w:themeColor="text1"/>
        </w:rPr>
        <w:t>20% correcta entrega de todas las actividades enseñanza aprendizaje</w:t>
      </w:r>
    </w:p>
    <w:p w:rsidR="00967FAB" w:rsidRPr="00400B1D" w:rsidRDefault="00967FAB" w:rsidP="00967FAB">
      <w:pPr>
        <w:numPr>
          <w:ilvl w:val="1"/>
          <w:numId w:val="41"/>
        </w:numPr>
        <w:suppressAutoHyphens w:val="0"/>
        <w:rPr>
          <w:rFonts w:asciiTheme="minorHAnsi" w:hAnsiTheme="minorHAnsi"/>
          <w:color w:val="000000" w:themeColor="text1"/>
        </w:rPr>
      </w:pPr>
      <w:r w:rsidRPr="00400B1D">
        <w:rPr>
          <w:rFonts w:asciiTheme="minorHAnsi" w:hAnsiTheme="minorHAnsi"/>
          <w:color w:val="000000" w:themeColor="text1"/>
        </w:rPr>
        <w:t>80% corrección una o más de las actividades de enseñanza aprendizaje</w:t>
      </w:r>
    </w:p>
    <w:p w:rsidR="00967FAB" w:rsidRPr="00400B1D" w:rsidRDefault="00967FAB" w:rsidP="00967FAB">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rsidR="00967FAB" w:rsidRPr="00400B1D" w:rsidRDefault="00967FAB" w:rsidP="00967FAB">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lastRenderedPageBreak/>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rsidR="00967FAB" w:rsidRPr="00400B1D" w:rsidRDefault="00967FAB" w:rsidP="00967FAB">
      <w:pPr>
        <w:numPr>
          <w:ilvl w:val="1"/>
          <w:numId w:val="41"/>
        </w:numPr>
        <w:suppressAutoHyphens w:val="0"/>
        <w:rPr>
          <w:rFonts w:asciiTheme="minorHAnsi" w:hAnsiTheme="minorHAnsi"/>
          <w:color w:val="000000" w:themeColor="text1"/>
        </w:rPr>
      </w:pPr>
      <w:r w:rsidRPr="00400B1D">
        <w:rPr>
          <w:rFonts w:asciiTheme="minorHAnsi" w:hAnsiTheme="minorHAnsi"/>
          <w:color w:val="000000" w:themeColor="text1"/>
        </w:rPr>
        <w:t>Positivo: entre cero (0) y cero con cincuenta (0,50)</w:t>
      </w:r>
    </w:p>
    <w:p w:rsidR="00967FAB" w:rsidRPr="00400B1D" w:rsidRDefault="00967FAB" w:rsidP="00967FAB">
      <w:pPr>
        <w:numPr>
          <w:ilvl w:val="1"/>
          <w:numId w:val="41"/>
        </w:numPr>
        <w:suppressAutoHyphens w:val="0"/>
        <w:rPr>
          <w:rFonts w:asciiTheme="minorHAnsi" w:hAnsiTheme="minorHAnsi"/>
          <w:color w:val="000000" w:themeColor="text1"/>
        </w:rPr>
      </w:pPr>
      <w:r w:rsidRPr="00400B1D">
        <w:rPr>
          <w:rFonts w:asciiTheme="minorHAnsi" w:hAnsiTheme="minorHAnsi"/>
          <w:color w:val="000000" w:themeColor="text1"/>
        </w:rPr>
        <w:t>Negativo: entre cero (0) y menos cero con cincuenta (-0,50)</w:t>
      </w:r>
    </w:p>
    <w:p w:rsidR="00967FAB" w:rsidRPr="00400B1D" w:rsidRDefault="00967FAB" w:rsidP="00967FAB">
      <w:pPr>
        <w:ind w:left="360"/>
        <w:rPr>
          <w:rFonts w:asciiTheme="minorHAnsi" w:hAnsiTheme="minorHAnsi"/>
          <w:color w:val="000000" w:themeColor="text1"/>
        </w:rPr>
      </w:pPr>
    </w:p>
    <w:p w:rsidR="00967FAB" w:rsidRPr="00400B1D" w:rsidRDefault="00967FAB" w:rsidP="00967FAB">
      <w:pPr>
        <w:ind w:firstLine="708"/>
        <w:rPr>
          <w:rFonts w:asciiTheme="minorHAnsi" w:hAnsiTheme="minorHAnsi"/>
          <w:color w:val="000000" w:themeColor="text1"/>
        </w:rPr>
      </w:pPr>
      <w:r w:rsidRPr="00400B1D">
        <w:rPr>
          <w:rFonts w:asciiTheme="minorHAnsi" w:hAnsiTheme="minorHAnsi"/>
          <w:color w:val="000000" w:themeColor="text1"/>
        </w:rPr>
        <w:t>Para superar cada evaluación es necesario:</w:t>
      </w:r>
    </w:p>
    <w:p w:rsidR="00967FAB" w:rsidRPr="00400B1D" w:rsidRDefault="00967FAB" w:rsidP="00967FAB">
      <w:pPr>
        <w:numPr>
          <w:ilvl w:val="0"/>
          <w:numId w:val="42"/>
        </w:numPr>
        <w:suppressAutoHyphens w:val="0"/>
        <w:rPr>
          <w:rFonts w:asciiTheme="minorHAnsi" w:hAnsiTheme="minorHAnsi"/>
          <w:color w:val="000000" w:themeColor="text1"/>
        </w:rPr>
      </w:pPr>
      <w:r w:rsidRPr="00400B1D">
        <w:rPr>
          <w:rFonts w:asciiTheme="minorHAnsi" w:hAnsiTheme="minorHAnsi"/>
          <w:color w:val="000000" w:themeColor="text1"/>
        </w:rPr>
        <w:t xml:space="preserve">Haber obtenido al menos una calificación de 4 </w:t>
      </w:r>
      <w:r w:rsidRPr="00400B1D">
        <w:rPr>
          <w:rFonts w:asciiTheme="minorHAnsi" w:hAnsiTheme="minorHAnsi"/>
          <w:color w:val="000000" w:themeColor="text1"/>
          <w:spacing w:val="-2"/>
        </w:rPr>
        <w:t xml:space="preserve">sobre 10 </w:t>
      </w:r>
      <w:r w:rsidRPr="00400B1D">
        <w:rPr>
          <w:rFonts w:asciiTheme="minorHAnsi" w:hAnsiTheme="minorHAnsi"/>
          <w:color w:val="000000" w:themeColor="text1"/>
        </w:rPr>
        <w:t>en la parte de prueba con contenido práctico.</w:t>
      </w:r>
    </w:p>
    <w:p w:rsidR="00967FAB" w:rsidRPr="00400B1D" w:rsidRDefault="00967FAB" w:rsidP="00967FAB">
      <w:pPr>
        <w:numPr>
          <w:ilvl w:val="0"/>
          <w:numId w:val="42"/>
        </w:numPr>
        <w:suppressAutoHyphens w:val="0"/>
        <w:rPr>
          <w:rFonts w:asciiTheme="minorHAnsi" w:hAnsiTheme="minorHAnsi"/>
          <w:color w:val="000000" w:themeColor="text1"/>
        </w:rPr>
      </w:pPr>
      <w:r w:rsidRPr="00400B1D">
        <w:rPr>
          <w:rFonts w:asciiTheme="minorHAnsi" w:hAnsiTheme="minorHAnsi"/>
          <w:color w:val="000000" w:themeColor="text1"/>
        </w:rPr>
        <w:t xml:space="preserve">Haber obtenido al menos un 5 sobre 10 de media en los apartados mencionados anteriormente (actividades de enseñanza-aprendizaje, prueba con contenido práctico y participación en clase). </w:t>
      </w:r>
    </w:p>
    <w:p w:rsidR="00967FAB" w:rsidRPr="00400B1D" w:rsidRDefault="00967FAB" w:rsidP="00967FAB">
      <w:pPr>
        <w:rPr>
          <w:rFonts w:asciiTheme="minorHAnsi" w:hAnsiTheme="minorHAnsi"/>
          <w:color w:val="000000" w:themeColor="text1"/>
          <w:sz w:val="20"/>
        </w:rPr>
      </w:pPr>
    </w:p>
    <w:p w:rsidR="00967FAB" w:rsidRPr="00400B1D" w:rsidRDefault="00967FAB" w:rsidP="00967FAB">
      <w:pPr>
        <w:rPr>
          <w:rFonts w:asciiTheme="minorHAnsi" w:hAnsiTheme="minorHAnsi"/>
          <w:b/>
          <w:bCs/>
          <w:color w:val="000000" w:themeColor="text1"/>
        </w:rPr>
      </w:pPr>
      <w:r w:rsidRPr="00400B1D">
        <w:rPr>
          <w:rFonts w:asciiTheme="minorHAnsi" w:hAnsiTheme="minorHAnsi"/>
          <w:b/>
          <w:bCs/>
          <w:color w:val="000000" w:themeColor="text1"/>
        </w:rPr>
        <w:t>No se considera la evaluación superada si no se cumplen los dos criterios anteriores.</w:t>
      </w:r>
      <w:r w:rsidRPr="00400B1D">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 sobre 10, entonces la calificación de la correspondiente evaluación será de 4 sobre 10 y no se considerará superada la evaluación.</w:t>
      </w:r>
    </w:p>
    <w:p w:rsidR="00967FAB" w:rsidRPr="00400B1D" w:rsidRDefault="00967FAB" w:rsidP="00967FAB">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967FAB" w:rsidRPr="00400B1D" w:rsidTr="00C73508">
        <w:tc>
          <w:tcPr>
            <w:tcW w:w="8644" w:type="dxa"/>
          </w:tcPr>
          <w:p w:rsidR="00967FAB" w:rsidRPr="00400B1D" w:rsidRDefault="00967FAB" w:rsidP="00C73508">
            <w:pPr>
              <w:jc w:val="center"/>
              <w:rPr>
                <w:rFonts w:asciiTheme="minorHAnsi" w:hAnsiTheme="minorHAnsi"/>
                <w:b/>
                <w:color w:val="000000" w:themeColor="text1"/>
              </w:rPr>
            </w:pPr>
            <w:r w:rsidRPr="00400B1D">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400B1D">
              <w:rPr>
                <w:rFonts w:asciiTheme="minorHAnsi" w:hAnsiTheme="minorHAnsi"/>
                <w:b/>
                <w:color w:val="000000" w:themeColor="text1"/>
                <w:u w:val="single"/>
              </w:rPr>
              <w:t>todas</w:t>
            </w:r>
            <w:r w:rsidRPr="00400B1D">
              <w:rPr>
                <w:rFonts w:asciiTheme="minorHAnsi" w:hAnsiTheme="minorHAnsi"/>
                <w:b/>
                <w:color w:val="000000" w:themeColor="text1"/>
              </w:rPr>
              <w:t xml:space="preserve"> ellas estén aprobadas. </w:t>
            </w:r>
          </w:p>
          <w:p w:rsidR="00967FAB" w:rsidRPr="00400B1D" w:rsidRDefault="00967FAB" w:rsidP="00C73508">
            <w:pPr>
              <w:jc w:val="center"/>
              <w:rPr>
                <w:rFonts w:asciiTheme="minorHAnsi" w:hAnsiTheme="minorHAnsi"/>
                <w:b/>
                <w:color w:val="000000" w:themeColor="text1"/>
              </w:rPr>
            </w:pPr>
          </w:p>
          <w:p w:rsidR="00967FAB" w:rsidRPr="00400B1D" w:rsidRDefault="00967FAB" w:rsidP="00C73508">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rsidR="00967FAB" w:rsidRPr="00400B1D" w:rsidRDefault="00967FAB" w:rsidP="00967FAB">
            <w:pPr>
              <w:numPr>
                <w:ilvl w:val="0"/>
                <w:numId w:val="45"/>
              </w:numPr>
              <w:suppressAutoHyphens w:val="0"/>
              <w:jc w:val="left"/>
              <w:rPr>
                <w:rFonts w:asciiTheme="minorHAnsi" w:hAnsiTheme="minorHAnsi"/>
                <w:b/>
                <w:color w:val="000000" w:themeColor="text1"/>
              </w:rPr>
            </w:pPr>
            <w:r w:rsidRPr="00400B1D">
              <w:rPr>
                <w:rFonts w:asciiTheme="minorHAnsi" w:hAnsiTheme="minorHAnsi"/>
                <w:b/>
                <w:color w:val="000000" w:themeColor="text1"/>
              </w:rPr>
              <w:t xml:space="preserve">Si la media aritmética de las calificaciones obtenidas en las </w:t>
            </w:r>
            <w:r w:rsidRPr="00400B1D">
              <w:rPr>
                <w:rFonts w:asciiTheme="minorHAnsi" w:hAnsiTheme="minorHAnsi"/>
                <w:b/>
                <w:color w:val="000000" w:themeColor="text1"/>
              </w:rPr>
              <w:lastRenderedPageBreak/>
              <w:t>evaluaciones es superior o igual a 5 sobre 10, la calificación final será de 4 sobre 10.</w:t>
            </w:r>
          </w:p>
          <w:p w:rsidR="00967FAB" w:rsidRPr="00400B1D" w:rsidRDefault="00967FAB" w:rsidP="00967FAB">
            <w:pPr>
              <w:numPr>
                <w:ilvl w:val="0"/>
                <w:numId w:val="45"/>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rsidR="00967FAB" w:rsidRPr="00400B1D" w:rsidRDefault="00967FAB" w:rsidP="00967FAB">
      <w:pPr>
        <w:tabs>
          <w:tab w:val="left" w:pos="-720"/>
        </w:tabs>
        <w:rPr>
          <w:rFonts w:asciiTheme="minorHAnsi" w:hAnsiTheme="minorHAnsi"/>
          <w:color w:val="000000" w:themeColor="text1"/>
          <w:spacing w:val="-2"/>
          <w:u w:val="single"/>
        </w:rPr>
      </w:pPr>
    </w:p>
    <w:p w:rsidR="00967FAB" w:rsidRPr="00400B1D" w:rsidRDefault="00967FAB" w:rsidP="00967FAB">
      <w:pPr>
        <w:spacing w:line="240" w:lineRule="auto"/>
        <w:jc w:val="left"/>
        <w:rPr>
          <w:rFonts w:asciiTheme="minorHAnsi" w:hAnsiTheme="minorHAnsi"/>
          <w:color w:val="000000" w:themeColor="text1"/>
          <w:spacing w:val="-2"/>
          <w:u w:val="single"/>
        </w:rPr>
      </w:pPr>
    </w:p>
    <w:p w:rsidR="00967FAB" w:rsidRPr="00400B1D" w:rsidRDefault="00967FAB" w:rsidP="00967FAB">
      <w:pPr>
        <w:tabs>
          <w:tab w:val="left" w:pos="-720"/>
        </w:tabs>
        <w:rPr>
          <w:rFonts w:asciiTheme="minorHAnsi" w:hAnsiTheme="minorHAnsi"/>
          <w:color w:val="000000" w:themeColor="text1"/>
          <w:spacing w:val="-2"/>
          <w:u w:val="single"/>
        </w:rPr>
      </w:pPr>
      <w:r w:rsidRPr="00400B1D">
        <w:rPr>
          <w:rFonts w:asciiTheme="minorHAnsi" w:hAnsiTheme="minorHAnsi"/>
          <w:color w:val="000000" w:themeColor="text1"/>
          <w:spacing w:val="-2"/>
          <w:u w:val="single"/>
        </w:rPr>
        <w:t>Alumnos con pérdida de la Evaluación Continua Y Alumnos con Evaluación continua que no superen el módulo.</w:t>
      </w:r>
    </w:p>
    <w:p w:rsidR="00967FAB" w:rsidRPr="00400B1D" w:rsidRDefault="00967FAB" w:rsidP="00967FAB">
      <w:pPr>
        <w:rPr>
          <w:rFonts w:asciiTheme="minorHAnsi" w:hAnsiTheme="minorHAnsi" w:cs="Calibri"/>
          <w:color w:val="000000" w:themeColor="text1"/>
        </w:rPr>
      </w:pPr>
      <w:r w:rsidRPr="00400B1D">
        <w:rPr>
          <w:rFonts w:asciiTheme="minorHAnsi" w:hAnsiTheme="minorHAnsi" w:cs="Calibri"/>
          <w:color w:val="000000" w:themeColor="text1"/>
        </w:rPr>
        <w:t xml:space="preserve">Dado el carácter práctico de la Formación Profesional, se establece una calificación </w:t>
      </w:r>
    </w:p>
    <w:p w:rsidR="00967FAB" w:rsidRPr="00400B1D" w:rsidRDefault="00967FAB" w:rsidP="00967FAB">
      <w:pPr>
        <w:rPr>
          <w:rFonts w:asciiTheme="minorHAnsi" w:hAnsiTheme="minorHAnsi" w:cs="Calibri"/>
          <w:color w:val="000000" w:themeColor="text1"/>
        </w:rPr>
      </w:pPr>
      <w:r w:rsidRPr="00400B1D">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400B1D">
        <w:rPr>
          <w:rFonts w:asciiTheme="minorHAnsi" w:hAnsiTheme="minorHAnsi" w:cs="Calibri"/>
          <w:color w:val="000000" w:themeColor="text1"/>
        </w:rPr>
        <w:t>e 10 para superar el módulo.</w:t>
      </w:r>
    </w:p>
    <w:p w:rsidR="00967FAB" w:rsidRPr="00400B1D" w:rsidRDefault="00967FAB" w:rsidP="00967FAB">
      <w:pPr>
        <w:rPr>
          <w:rFonts w:asciiTheme="minorHAnsi" w:hAnsiTheme="minorHAnsi"/>
          <w:color w:val="000000" w:themeColor="text1"/>
        </w:rPr>
      </w:pPr>
    </w:p>
    <w:p w:rsidR="00967FAB" w:rsidRPr="00400B1D" w:rsidRDefault="00967FAB" w:rsidP="00967FAB">
      <w:pPr>
        <w:rPr>
          <w:rFonts w:asciiTheme="minorHAnsi" w:hAnsiTheme="minorHAnsi" w:cs="Calibri"/>
          <w:b/>
          <w:bCs/>
          <w:color w:val="000000" w:themeColor="text1"/>
        </w:rPr>
      </w:pPr>
      <w:r w:rsidRPr="00400B1D">
        <w:rPr>
          <w:rFonts w:asciiTheme="minorHAnsi" w:hAnsiTheme="minorHAnsi" w:cs="Calibri"/>
          <w:b/>
          <w:bCs/>
          <w:color w:val="000000" w:themeColor="text1"/>
        </w:rPr>
        <w:t>Criterios de Calificación Pendientes</w:t>
      </w:r>
    </w:p>
    <w:p w:rsidR="00967FAB" w:rsidRPr="00400B1D" w:rsidRDefault="00967FAB" w:rsidP="00967FAB">
      <w:pPr>
        <w:rPr>
          <w:rFonts w:asciiTheme="minorHAnsi" w:hAnsiTheme="minorHAnsi" w:cs="Calibri"/>
          <w:b/>
          <w:bCs/>
          <w:color w:val="000000" w:themeColor="text1"/>
        </w:rPr>
      </w:pPr>
    </w:p>
    <w:p w:rsidR="00967FAB" w:rsidRPr="001063AA" w:rsidRDefault="00967FAB" w:rsidP="00967FAB">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967FAB" w:rsidRPr="001063AA" w:rsidRDefault="00967FAB" w:rsidP="00967FAB">
      <w:pPr>
        <w:ind w:firstLine="708"/>
        <w:rPr>
          <w:rFonts w:asciiTheme="minorHAnsi" w:hAnsiTheme="minorHAnsi" w:cs="Arial"/>
          <w:color w:val="000000" w:themeColor="text1"/>
          <w:lang w:val="es-ES_tradnl"/>
        </w:rPr>
      </w:pPr>
    </w:p>
    <w:p w:rsidR="00967FAB" w:rsidRPr="001063AA" w:rsidRDefault="00967FAB" w:rsidP="00967FAB">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967FAB" w:rsidRPr="001063AA" w:rsidRDefault="00967FAB" w:rsidP="00967FAB">
      <w:pPr>
        <w:ind w:firstLine="708"/>
        <w:rPr>
          <w:rFonts w:asciiTheme="minorHAnsi" w:hAnsiTheme="minorHAnsi" w:cs="Arial"/>
          <w:color w:val="000000" w:themeColor="text1"/>
          <w:lang w:val="es-ES_tradnl"/>
        </w:rPr>
      </w:pPr>
    </w:p>
    <w:p w:rsidR="00967FAB" w:rsidRPr="001063AA" w:rsidRDefault="00967FAB" w:rsidP="00967FAB">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La calificación del módulo será la puntuación obtenida en la prueba final del módulo sin decimales.</w:t>
      </w:r>
    </w:p>
    <w:p w:rsidR="00967FAB" w:rsidRPr="001063AA" w:rsidRDefault="00967FAB" w:rsidP="00967FAB">
      <w:pPr>
        <w:rPr>
          <w:rFonts w:asciiTheme="minorHAnsi" w:hAnsiTheme="minorHAnsi" w:cs="Arial"/>
          <w:color w:val="000000" w:themeColor="text1"/>
          <w:lang w:val="es-ES_tradnl"/>
        </w:rPr>
      </w:pPr>
    </w:p>
    <w:p w:rsidR="00967FAB" w:rsidRPr="001063AA" w:rsidRDefault="00967FAB" w:rsidP="00967FAB">
      <w:pPr>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lastRenderedPageBreak/>
        <w:t>Con esta calificación se determina  finalmente si se ha superado o no el módulo:</w:t>
      </w:r>
    </w:p>
    <w:p w:rsidR="00967FAB" w:rsidRPr="001063AA" w:rsidRDefault="00967FAB" w:rsidP="00967FAB">
      <w:pPr>
        <w:numPr>
          <w:ilvl w:val="0"/>
          <w:numId w:val="37"/>
        </w:numPr>
        <w:suppressAutoHyphens w:val="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Si la puntuación es inferior a 5, el módulo no habrá sido superado.</w:t>
      </w:r>
    </w:p>
    <w:p w:rsidR="00967FAB" w:rsidRPr="001063AA" w:rsidRDefault="00967FAB" w:rsidP="00967FAB">
      <w:pPr>
        <w:numPr>
          <w:ilvl w:val="0"/>
          <w:numId w:val="37"/>
        </w:numPr>
        <w:suppressAutoHyphens w:val="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En caso contrario el alumno habrá superado el módulo.</w:t>
      </w:r>
    </w:p>
    <w:p w:rsidR="00967FAB" w:rsidRPr="001063AA" w:rsidRDefault="00967FAB" w:rsidP="00967FAB">
      <w:pPr>
        <w:rPr>
          <w:rFonts w:asciiTheme="minorHAnsi" w:hAnsiTheme="minorHAnsi" w:cs="Arial"/>
          <w:b/>
          <w:color w:val="000000" w:themeColor="text1"/>
          <w:lang w:val="es-ES_tradnl"/>
        </w:rPr>
      </w:pPr>
    </w:p>
    <w:p w:rsidR="00502BA9" w:rsidRPr="00967FAB" w:rsidRDefault="00967FAB" w:rsidP="00967FAB">
      <w:pPr>
        <w:ind w:firstLine="576"/>
        <w:rPr>
          <w:color w:val="FF0000"/>
        </w:rPr>
      </w:pPr>
      <w:r w:rsidRPr="001063AA">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502BA9" w:rsidRPr="003769D4" w:rsidRDefault="00502BA9" w:rsidP="00502BA9">
      <w:pPr>
        <w:pStyle w:val="Ttulo2"/>
        <w:numPr>
          <w:ilvl w:val="0"/>
          <w:numId w:val="46"/>
        </w:numPr>
        <w:rPr>
          <w:rFonts w:ascii="Calibri" w:hAnsi="Calibri" w:cs="Calibri"/>
        </w:rPr>
      </w:pPr>
      <w:bookmarkStart w:id="7" w:name="_Toc120557410"/>
      <w:r w:rsidRPr="003769D4">
        <w:rPr>
          <w:rFonts w:ascii="Calibri" w:hAnsi="Calibri" w:cs="Calibri"/>
        </w:rPr>
        <w:t>Recuperación</w:t>
      </w:r>
      <w:bookmarkEnd w:id="6"/>
      <w:bookmarkEnd w:id="7"/>
    </w:p>
    <w:p w:rsidR="00967FAB" w:rsidRPr="00400B1D" w:rsidRDefault="00967FAB" w:rsidP="00967FAB">
      <w:pPr>
        <w:ind w:firstLine="576"/>
        <w:rPr>
          <w:rFonts w:cs="Calibri"/>
          <w:color w:val="000000" w:themeColor="text1"/>
        </w:rPr>
      </w:pPr>
      <w:bookmarkStart w:id="8" w:name="_Toc523819771"/>
      <w:bookmarkEnd w:id="8"/>
      <w:r w:rsidRPr="00400B1D">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rsidR="00967FAB" w:rsidRPr="00400B1D" w:rsidRDefault="00967FAB" w:rsidP="00967FAB">
      <w:pPr>
        <w:ind w:firstLine="708"/>
        <w:rPr>
          <w:rFonts w:cs="Calibri"/>
          <w:color w:val="000000" w:themeColor="text1"/>
        </w:rPr>
      </w:pPr>
    </w:p>
    <w:p w:rsidR="00967FAB" w:rsidRPr="00400B1D" w:rsidRDefault="00967FAB" w:rsidP="00967FAB">
      <w:pPr>
        <w:ind w:firstLine="708"/>
        <w:rPr>
          <w:rFonts w:cs="Calibri"/>
          <w:color w:val="000000" w:themeColor="text1"/>
        </w:rPr>
      </w:pPr>
      <w:r w:rsidRPr="00400B1D">
        <w:rPr>
          <w:rFonts w:cs="Calibri"/>
          <w:color w:val="000000" w:themeColor="text1"/>
        </w:rPr>
        <w:t xml:space="preserve">En el examen final de la primera convocatoria ordinaria, el alumno deberá recuperar </w:t>
      </w:r>
      <w:r w:rsidRPr="00400B1D">
        <w:rPr>
          <w:rFonts w:cs="Calibri"/>
          <w:b/>
          <w:bCs/>
          <w:color w:val="000000" w:themeColor="text1"/>
          <w:u w:val="single"/>
        </w:rPr>
        <w:t>únicamente</w:t>
      </w:r>
      <w:r w:rsidRPr="00400B1D">
        <w:rPr>
          <w:rFonts w:cs="Calibri"/>
          <w:color w:val="000000" w:themeColor="text1"/>
        </w:rPr>
        <w:t xml:space="preserve"> aquellas evaluaciones no superadas. En el caso de no recuperar las evaluaciones suspensas, la calificación final será de suspenso.</w:t>
      </w:r>
    </w:p>
    <w:p w:rsidR="00967FAB" w:rsidRPr="00400B1D" w:rsidRDefault="00967FAB" w:rsidP="00967FAB">
      <w:pPr>
        <w:ind w:left="1480"/>
        <w:rPr>
          <w:rFonts w:asciiTheme="minorHAnsi" w:hAnsiTheme="minorHAnsi"/>
          <w:color w:val="000000" w:themeColor="text1"/>
        </w:rPr>
      </w:pPr>
    </w:p>
    <w:p w:rsidR="00967FAB" w:rsidRPr="00400B1D" w:rsidRDefault="00967FAB" w:rsidP="00967FAB">
      <w:pPr>
        <w:rPr>
          <w:rFonts w:asciiTheme="minorHAnsi" w:hAnsiTheme="minorHAnsi"/>
          <w:color w:val="000000" w:themeColor="text1"/>
        </w:rPr>
      </w:pPr>
      <w:r w:rsidRPr="00400B1D">
        <w:rPr>
          <w:rFonts w:asciiTheme="minorHAnsi" w:hAnsiTheme="minorHAnsi"/>
          <w:color w:val="000000" w:themeColor="text1"/>
        </w:rPr>
        <w:t>La calificación final se obtendrá:</w:t>
      </w:r>
    </w:p>
    <w:p w:rsidR="00967FAB" w:rsidRPr="00400B1D" w:rsidRDefault="00967FAB" w:rsidP="00967FAB">
      <w:pPr>
        <w:pStyle w:val="Prrafodelista"/>
        <w:numPr>
          <w:ilvl w:val="0"/>
          <w:numId w:val="47"/>
        </w:numPr>
        <w:rPr>
          <w:rFonts w:cs="Calibri"/>
          <w:color w:val="000000" w:themeColor="text1"/>
        </w:rPr>
      </w:pPr>
      <w:r w:rsidRPr="00400B1D">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se sumará la calificación obtenida en cada evolución y se dividirá por el número de evaluaciones. Además la calificación obtenida en la prueba final para cada evaluación pendiente debe ser igual o superior a 5 sobre 10. En el caso que la media aritmética sea igual o superior a 5 sobre 10 y la calificación de la prueba </w:t>
      </w:r>
      <w:r w:rsidRPr="00400B1D">
        <w:rPr>
          <w:rFonts w:asciiTheme="minorHAnsi" w:hAnsiTheme="minorHAnsi"/>
          <w:color w:val="000000" w:themeColor="text1"/>
          <w:sz w:val="24"/>
          <w:szCs w:val="24"/>
        </w:rPr>
        <w:lastRenderedPageBreak/>
        <w:t>final en alguna evaluación sea inferior a 5 sobre 10, la calificación del módulo será de 4 sobre 10 y no se considerará el modulo superado.</w:t>
      </w:r>
    </w:p>
    <w:p w:rsidR="00967FAB" w:rsidRPr="00400B1D" w:rsidRDefault="00967FAB" w:rsidP="00967FAB">
      <w:pPr>
        <w:ind w:firstLine="708"/>
        <w:rPr>
          <w:rFonts w:cs="Calibri"/>
          <w:color w:val="000000" w:themeColor="text1"/>
        </w:rPr>
      </w:pPr>
    </w:p>
    <w:p w:rsidR="00967FAB" w:rsidRPr="00400B1D" w:rsidRDefault="00967FAB" w:rsidP="00967FAB">
      <w:pPr>
        <w:rPr>
          <w:rFonts w:cs="Calibri"/>
          <w:color w:val="000000" w:themeColor="text1"/>
          <w:u w:val="single"/>
        </w:rPr>
      </w:pPr>
      <w:r w:rsidRPr="00400B1D">
        <w:rPr>
          <w:rFonts w:cs="Calibri"/>
          <w:color w:val="000000" w:themeColor="text1"/>
          <w:u w:val="single"/>
        </w:rPr>
        <w:t>Acceso a la segunda convocatoria ordinaria</w:t>
      </w:r>
    </w:p>
    <w:p w:rsidR="00967FAB" w:rsidRPr="00400B1D" w:rsidRDefault="00967FAB" w:rsidP="00967FAB">
      <w:pPr>
        <w:ind w:firstLine="708"/>
        <w:rPr>
          <w:rFonts w:asciiTheme="minorHAnsi" w:hAnsiTheme="minorHAnsi"/>
          <w:color w:val="000000" w:themeColor="text1"/>
        </w:rPr>
      </w:pPr>
      <w:r w:rsidRPr="00400B1D">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rsidR="00967FAB" w:rsidRPr="00400B1D" w:rsidRDefault="00967FAB" w:rsidP="00967FAB">
      <w:pPr>
        <w:ind w:firstLine="708"/>
        <w:rPr>
          <w:rFonts w:asciiTheme="minorHAnsi" w:hAnsiTheme="minorHAnsi"/>
          <w:color w:val="000000" w:themeColor="text1"/>
        </w:rPr>
      </w:pPr>
    </w:p>
    <w:p w:rsidR="00967FAB" w:rsidRPr="00400B1D" w:rsidRDefault="00967FAB" w:rsidP="00967FAB">
      <w:pPr>
        <w:ind w:firstLine="708"/>
        <w:rPr>
          <w:rFonts w:asciiTheme="minorHAnsi" w:hAnsiTheme="minorHAnsi"/>
          <w:color w:val="000000" w:themeColor="text1"/>
        </w:rPr>
      </w:pPr>
      <w:r w:rsidRPr="00400B1D">
        <w:rPr>
          <w:rFonts w:asciiTheme="minorHAnsi" w:hAnsiTheme="minorHAnsi"/>
          <w:color w:val="000000" w:themeColor="text1"/>
        </w:rPr>
        <w:t>El acceso a la segunda convocatoria ordinaria se realizará independientemente del tipo de matrícula del alumno (ordinaria o modular).</w:t>
      </w:r>
    </w:p>
    <w:p w:rsidR="00967FAB" w:rsidRPr="00400B1D" w:rsidRDefault="00967FAB" w:rsidP="00967FAB">
      <w:pPr>
        <w:ind w:firstLine="708"/>
        <w:rPr>
          <w:rFonts w:asciiTheme="minorHAnsi" w:hAnsiTheme="minorHAnsi"/>
          <w:color w:val="000000" w:themeColor="text1"/>
        </w:rPr>
      </w:pPr>
    </w:p>
    <w:p w:rsidR="00967FAB" w:rsidRPr="00400B1D" w:rsidRDefault="00967FAB" w:rsidP="00967FAB">
      <w:pPr>
        <w:ind w:firstLine="708"/>
        <w:rPr>
          <w:rFonts w:asciiTheme="minorHAnsi" w:hAnsiTheme="minorHAnsi"/>
          <w:color w:val="000000" w:themeColor="text1"/>
        </w:rPr>
      </w:pPr>
      <w:r w:rsidRPr="00400B1D">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rsidR="00967FAB" w:rsidRPr="00400B1D" w:rsidRDefault="00967FAB" w:rsidP="00967FAB">
      <w:pPr>
        <w:ind w:firstLine="708"/>
        <w:rPr>
          <w:rFonts w:asciiTheme="minorHAnsi" w:hAnsiTheme="minorHAnsi"/>
          <w:color w:val="000000" w:themeColor="text1"/>
        </w:rPr>
      </w:pPr>
    </w:p>
    <w:p w:rsidR="00967FAB" w:rsidRPr="00400B1D" w:rsidRDefault="00967FAB" w:rsidP="00967FAB">
      <w:pPr>
        <w:ind w:firstLine="708"/>
        <w:rPr>
          <w:rFonts w:asciiTheme="minorHAnsi" w:hAnsiTheme="minorHAnsi"/>
          <w:color w:val="000000" w:themeColor="text1"/>
        </w:rPr>
      </w:pPr>
      <w:r w:rsidRPr="00400B1D">
        <w:rPr>
          <w:rFonts w:asciiTheme="minorHAnsi" w:hAnsiTheme="minorHAnsi"/>
          <w:color w:val="000000" w:themeColor="text1"/>
        </w:rPr>
        <w:t>El examen de la segunda convocatoria ordinaria incluirá solo aquellos contenidos que no se hayan conseguido superar en la primera.</w:t>
      </w:r>
    </w:p>
    <w:p w:rsidR="00967FAB" w:rsidRPr="00400B1D" w:rsidRDefault="00967FAB" w:rsidP="00967FAB">
      <w:pPr>
        <w:ind w:firstLine="708"/>
        <w:rPr>
          <w:rFonts w:asciiTheme="minorHAnsi" w:hAnsiTheme="minorHAnsi"/>
          <w:color w:val="000000" w:themeColor="text1"/>
        </w:rPr>
      </w:pPr>
    </w:p>
    <w:p w:rsidR="003D45F0" w:rsidRDefault="00967FAB" w:rsidP="003D45F0">
      <w:pPr>
        <w:rPr>
          <w:rFonts w:cs="Calibri"/>
          <w:color w:val="000000" w:themeColor="text1"/>
        </w:rPr>
      </w:pPr>
      <w:r w:rsidRPr="00400B1D">
        <w:rPr>
          <w:rFonts w:asciiTheme="minorHAnsi" w:hAnsiTheme="minorHAnsi"/>
          <w:color w:val="000000" w:themeColor="text1"/>
        </w:rPr>
        <w:t xml:space="preserve"> La segunda convocatoria ordinaria se realizará en el mes de Junio.</w:t>
      </w:r>
    </w:p>
    <w:p w:rsidR="003D45F0" w:rsidRDefault="003D45F0" w:rsidP="003D45F0">
      <w:pPr>
        <w:rPr>
          <w:rFonts w:cs="Calibri"/>
          <w:color w:val="000000" w:themeColor="text1"/>
        </w:rPr>
      </w:pPr>
    </w:p>
    <w:p w:rsidR="00502BA9" w:rsidRPr="003D45F0" w:rsidRDefault="003D45F0" w:rsidP="003D45F0">
      <w:pPr>
        <w:rPr>
          <w:rFonts w:cs="Calibri"/>
          <w:color w:val="000000" w:themeColor="text1"/>
        </w:rPr>
      </w:pPr>
      <w:r w:rsidRPr="003D45F0">
        <w:rPr>
          <w:b/>
          <w:color w:val="000000" w:themeColor="text1"/>
          <w:sz w:val="26"/>
          <w:szCs w:val="26"/>
        </w:rPr>
        <w:t>Planificación de las actividades de recuperación de los módulos no superados</w:t>
      </w:r>
    </w:p>
    <w:p w:rsidR="003D45F0" w:rsidRPr="001063AA" w:rsidRDefault="003D45F0" w:rsidP="003D45F0">
      <w:pPr>
        <w:rPr>
          <w:color w:val="000000" w:themeColor="text1"/>
        </w:rPr>
      </w:pPr>
    </w:p>
    <w:p w:rsidR="00967FAB" w:rsidRPr="00400B1D" w:rsidRDefault="00967FAB" w:rsidP="00967FAB">
      <w:pPr>
        <w:ind w:firstLine="708"/>
        <w:rPr>
          <w:rFonts w:cs="Calibri"/>
          <w:color w:val="000000" w:themeColor="text1"/>
        </w:rPr>
      </w:pPr>
      <w:r w:rsidRPr="00400B1D">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rsidR="00967FAB" w:rsidRPr="00400B1D" w:rsidRDefault="00967FAB" w:rsidP="00967FAB">
      <w:pPr>
        <w:ind w:firstLine="576"/>
        <w:rPr>
          <w:rFonts w:cs="Calibri"/>
          <w:color w:val="000000" w:themeColor="text1"/>
        </w:rPr>
      </w:pPr>
    </w:p>
    <w:p w:rsidR="00967FAB" w:rsidRPr="001E10F6" w:rsidRDefault="00967FAB" w:rsidP="00967FAB">
      <w:pPr>
        <w:ind w:firstLine="576"/>
        <w:rPr>
          <w:rFonts w:cs="Calibri"/>
          <w:color w:val="auto"/>
        </w:rPr>
      </w:pPr>
      <w:r w:rsidRPr="001E10F6">
        <w:rPr>
          <w:rFonts w:cs="Calibri"/>
          <w:color w:val="auto"/>
        </w:rPr>
        <w:lastRenderedPageBreak/>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967FAB" w:rsidRPr="001E10F6" w:rsidRDefault="00967FAB" w:rsidP="00967FAB">
      <w:pPr>
        <w:ind w:firstLine="576"/>
        <w:rPr>
          <w:rFonts w:cs="Calibri"/>
          <w:color w:val="auto"/>
        </w:rPr>
      </w:pPr>
    </w:p>
    <w:p w:rsidR="00266FE7" w:rsidRPr="00367009" w:rsidRDefault="00967FAB" w:rsidP="00967FAB">
      <w:pPr>
        <w:ind w:firstLine="708"/>
        <w:rPr>
          <w:rFonts w:cs="Calibri"/>
          <w:color w:val="548DD4"/>
        </w:rPr>
      </w:pPr>
      <w:r w:rsidRPr="001E10F6">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F79" w:rsidRDefault="00CD3F79" w:rsidP="00266FE7">
      <w:pPr>
        <w:spacing w:line="240" w:lineRule="auto"/>
      </w:pPr>
      <w:r>
        <w:separator/>
      </w:r>
    </w:p>
  </w:endnote>
  <w:endnote w:type="continuationSeparator" w:id="1">
    <w:p w:rsidR="00CD3F79" w:rsidRDefault="00CD3F79"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F79" w:rsidRDefault="00CD3F79" w:rsidP="00266FE7">
      <w:pPr>
        <w:spacing w:line="240" w:lineRule="auto"/>
      </w:pPr>
      <w:r>
        <w:separator/>
      </w:r>
    </w:p>
  </w:footnote>
  <w:footnote w:type="continuationSeparator" w:id="1">
    <w:p w:rsidR="00CD3F79" w:rsidRDefault="00CD3F79"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67FAB" w:rsidRPr="000D5A36" w:rsidRDefault="00967FAB" w:rsidP="00967FAB">
          <w:pPr>
            <w:pStyle w:val="Encabezamiento"/>
            <w:jc w:val="center"/>
            <w:rPr>
              <w:rFonts w:ascii="Calibri" w:hAnsi="Calibri" w:cs="Calibri"/>
            </w:rPr>
          </w:pPr>
          <w:r>
            <w:rPr>
              <w:rFonts w:ascii="Calibri" w:hAnsi="Calibri" w:cs="Calibri"/>
            </w:rPr>
            <w:t>IES</w:t>
          </w:r>
          <w:r w:rsidRPr="000D5A36">
            <w:rPr>
              <w:rFonts w:ascii="Calibri" w:hAnsi="Calibri" w:cs="Calibri"/>
            </w:rPr>
            <w:t xml:space="preserve"> ARCIPRESTE DE HITA. DEPARTAMENTO DE INFORMÁTICA</w:t>
          </w:r>
        </w:p>
        <w:p w:rsidR="00967FAB" w:rsidRPr="000D5A36" w:rsidRDefault="00967FAB" w:rsidP="00967FAB">
          <w:pPr>
            <w:pStyle w:val="Encabezamiento"/>
            <w:jc w:val="center"/>
            <w:rPr>
              <w:rFonts w:ascii="Calibri" w:hAnsi="Calibri" w:cs="Calibri"/>
              <w:color w:val="FF0000"/>
            </w:rPr>
          </w:pPr>
          <w:r w:rsidRPr="000D5A36">
            <w:rPr>
              <w:rFonts w:ascii="Calibri" w:hAnsi="Calibri" w:cs="Calibri"/>
            </w:rPr>
            <w:t>Programación didáctica del módulo: Redes Locales</w:t>
          </w:r>
        </w:p>
        <w:p w:rsidR="00967FAB" w:rsidRPr="000D5A36" w:rsidRDefault="00967FAB" w:rsidP="00967FAB">
          <w:pPr>
            <w:pStyle w:val="Encabezamiento"/>
            <w:jc w:val="center"/>
            <w:rPr>
              <w:rFonts w:ascii="Calibri" w:hAnsi="Calibri" w:cs="Calibri"/>
              <w:color w:val="000000" w:themeColor="text1"/>
            </w:rPr>
          </w:pPr>
          <w:r w:rsidRPr="000D5A36">
            <w:rPr>
              <w:rFonts w:ascii="Calibri" w:hAnsi="Calibri" w:cs="Calibri"/>
              <w:color w:val="auto"/>
            </w:rPr>
            <w:t>Ciclo form</w:t>
          </w:r>
          <w:r w:rsidRPr="000D5A36">
            <w:rPr>
              <w:rFonts w:ascii="Calibri" w:hAnsi="Calibri" w:cs="Calibri"/>
              <w:color w:val="000000" w:themeColor="text1"/>
            </w:rPr>
            <w:t>ativo: Sistemas Microinformáticos y Redes</w:t>
          </w:r>
        </w:p>
        <w:p w:rsidR="00CD6E74" w:rsidRDefault="00967FAB" w:rsidP="00967FAB">
          <w:pPr>
            <w:pStyle w:val="Encabezamiento"/>
            <w:jc w:val="center"/>
            <w:rPr>
              <w:rFonts w:ascii="Calibri" w:hAnsi="Calibri" w:cs="Calibri"/>
            </w:rPr>
          </w:pPr>
          <w:r>
            <w:rPr>
              <w:rFonts w:ascii="Calibri" w:hAnsi="Calibri" w:cs="Calibri"/>
              <w:color w:val="000000" w:themeColor="text1"/>
            </w:rPr>
            <w:t>Curso 2023/2024</w:t>
          </w:r>
        </w:p>
      </w:tc>
    </w:tr>
  </w:tbl>
  <w:p w:rsidR="00CD6E74" w:rsidRDefault="00CD6E74">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4A471C2"/>
    <w:multiLevelType w:val="hybridMultilevel"/>
    <w:tmpl w:val="15DE5D3A"/>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0F">
      <w:start w:val="1"/>
      <w:numFmt w:val="decimal"/>
      <w:lvlText w:val="%3."/>
      <w:lvlJc w:val="lef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9">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6">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1">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7"/>
  </w:num>
  <w:num w:numId="3">
    <w:abstractNumId w:val="21"/>
  </w:num>
  <w:num w:numId="4">
    <w:abstractNumId w:val="25"/>
  </w:num>
  <w:num w:numId="5">
    <w:abstractNumId w:val="17"/>
  </w:num>
  <w:num w:numId="6">
    <w:abstractNumId w:val="6"/>
  </w:num>
  <w:num w:numId="7">
    <w:abstractNumId w:val="44"/>
  </w:num>
  <w:num w:numId="8">
    <w:abstractNumId w:val="36"/>
  </w:num>
  <w:num w:numId="9">
    <w:abstractNumId w:val="23"/>
  </w:num>
  <w:num w:numId="10">
    <w:abstractNumId w:val="14"/>
  </w:num>
  <w:num w:numId="11">
    <w:abstractNumId w:val="13"/>
  </w:num>
  <w:num w:numId="12">
    <w:abstractNumId w:val="5"/>
  </w:num>
  <w:num w:numId="13">
    <w:abstractNumId w:val="24"/>
  </w:num>
  <w:num w:numId="14">
    <w:abstractNumId w:val="9"/>
  </w:num>
  <w:num w:numId="15">
    <w:abstractNumId w:val="20"/>
  </w:num>
  <w:num w:numId="16">
    <w:abstractNumId w:val="3"/>
  </w:num>
  <w:num w:numId="17">
    <w:abstractNumId w:val="29"/>
  </w:num>
  <w:num w:numId="18">
    <w:abstractNumId w:val="37"/>
  </w:num>
  <w:num w:numId="19">
    <w:abstractNumId w:val="18"/>
  </w:num>
  <w:num w:numId="20">
    <w:abstractNumId w:val="2"/>
  </w:num>
  <w:num w:numId="21">
    <w:abstractNumId w:val="15"/>
  </w:num>
  <w:num w:numId="22">
    <w:abstractNumId w:val="16"/>
  </w:num>
  <w:num w:numId="23">
    <w:abstractNumId w:val="4"/>
  </w:num>
  <w:num w:numId="24">
    <w:abstractNumId w:val="46"/>
  </w:num>
  <w:num w:numId="25">
    <w:abstractNumId w:val="0"/>
  </w:num>
  <w:num w:numId="26">
    <w:abstractNumId w:val="26"/>
  </w:num>
  <w:num w:numId="27">
    <w:abstractNumId w:val="1"/>
  </w:num>
  <w:num w:numId="28">
    <w:abstractNumId w:val="33"/>
  </w:num>
  <w:num w:numId="29">
    <w:abstractNumId w:val="42"/>
  </w:num>
  <w:num w:numId="30">
    <w:abstractNumId w:val="8"/>
  </w:num>
  <w:num w:numId="31">
    <w:abstractNumId w:val="45"/>
  </w:num>
  <w:num w:numId="32">
    <w:abstractNumId w:val="10"/>
  </w:num>
  <w:num w:numId="33">
    <w:abstractNumId w:val="38"/>
  </w:num>
  <w:num w:numId="34">
    <w:abstractNumId w:val="19"/>
  </w:num>
  <w:num w:numId="35">
    <w:abstractNumId w:val="47"/>
  </w:num>
  <w:num w:numId="36">
    <w:abstractNumId w:val="39"/>
  </w:num>
  <w:num w:numId="37">
    <w:abstractNumId w:val="34"/>
  </w:num>
  <w:num w:numId="38">
    <w:abstractNumId w:val="43"/>
  </w:num>
  <w:num w:numId="39">
    <w:abstractNumId w:val="30"/>
  </w:num>
  <w:num w:numId="40">
    <w:abstractNumId w:val="35"/>
  </w:num>
  <w:num w:numId="41">
    <w:abstractNumId w:val="31"/>
  </w:num>
  <w:num w:numId="42">
    <w:abstractNumId w:val="11"/>
  </w:num>
  <w:num w:numId="43">
    <w:abstractNumId w:val="12"/>
  </w:num>
  <w:num w:numId="44">
    <w:abstractNumId w:val="27"/>
  </w:num>
  <w:num w:numId="45">
    <w:abstractNumId w:val="40"/>
  </w:num>
  <w:num w:numId="46">
    <w:abstractNumId w:val="32"/>
  </w:num>
  <w:num w:numId="47">
    <w:abstractNumId w:val="22"/>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564D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5D490E"/>
    <w:rsid w:val="006401F6"/>
    <w:rsid w:val="006B0FAE"/>
    <w:rsid w:val="006E1230"/>
    <w:rsid w:val="006E15D5"/>
    <w:rsid w:val="007C58F9"/>
    <w:rsid w:val="0082710D"/>
    <w:rsid w:val="00843FF8"/>
    <w:rsid w:val="008E7C83"/>
    <w:rsid w:val="00967FAB"/>
    <w:rsid w:val="009B4AD0"/>
    <w:rsid w:val="009F3348"/>
    <w:rsid w:val="00A6794B"/>
    <w:rsid w:val="00B56A3B"/>
    <w:rsid w:val="00CA38BE"/>
    <w:rsid w:val="00CB4845"/>
    <w:rsid w:val="00CD3F79"/>
    <w:rsid w:val="00CD6E74"/>
    <w:rsid w:val="00D15044"/>
    <w:rsid w:val="00DD2D23"/>
    <w:rsid w:val="00DE2216"/>
    <w:rsid w:val="00E2341D"/>
    <w:rsid w:val="00E65204"/>
    <w:rsid w:val="00EF2ED0"/>
    <w:rsid w:val="00F131CA"/>
    <w:rsid w:val="00F16884"/>
    <w:rsid w:val="00F61D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C3D2CB-E8B2-498E-8A71-F75DA387080A}"/>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1849</Words>
  <Characters>10173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2</cp:revision>
  <dcterms:created xsi:type="dcterms:W3CDTF">2023-10-24T21:29:00Z</dcterms:created>
  <dcterms:modified xsi:type="dcterms:W3CDTF">2023-10-24T21:29:00Z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